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left"/>
        <w:spacing w:after="1" w:line="220" w:lineRule="atLeas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jc w:val="center"/>
        <w:spacing w:after="1" w:line="2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МЕТОДИК</w:t>
      </w:r>
      <w:r>
        <w:rPr>
          <w:rFonts w:ascii="Times New Roman" w:hAnsi="Times New Roman" w:cs="Times New Roman"/>
          <w:b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jc w:val="center"/>
        <w:spacing w:after="1" w:line="2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РАСЧЕТА НОРМАТИВОВ ДЛЯ ОПРЕДЕЛЕНИЯ ОБЩЕГО ОБЪЕМА СУБВЕНЦИЙ,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П</w:t>
      </w:r>
      <w:bookmarkStart w:id="0" w:name="_GoBack"/>
      <w:r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РЕДОСТАВЛЯЕМЫХ МЕСТНЫМ БЮДЖЕТАМ ИЗ ОБЛАСТНОГО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БЮДЖЕТА НОВОСИБИРСКОЙ ОБЛАСТИ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40"/>
        <w:jc w:val="center"/>
        <w:spacing w:after="1" w:line="2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Настоящая Методика определяет порядок расчета нормативов для определения общего годового объема субвенций, предоставляемых местным бюджетам из областного бюджета Новосибирской области для осуществления органами местного самоуправления отдельных государствен</w:t>
      </w:r>
      <w:r>
        <w:rPr>
          <w:rFonts w:ascii="Times New Roman" w:hAnsi="Times New Roman" w:cs="Times New Roman"/>
          <w:bCs/>
          <w:sz w:val="28"/>
          <w:szCs w:val="28"/>
        </w:rPr>
        <w:t xml:space="preserve">ных полномочий Новосибирской области по обеспечению социального обслуживания отдельных категорий граждан.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Расчет годового объема субвенций, необходимых местным бюджетам муниципальных образований для осуществления органами местного самоуправления отдельных государственных полномочий по социальному обслуживанию инвалидов, граждан пожилого возраста, граждан, наход</w:t>
      </w:r>
      <w:r>
        <w:rPr>
          <w:rFonts w:ascii="Times New Roman" w:hAnsi="Times New Roman" w:cs="Times New Roman"/>
          <w:bCs/>
          <w:sz w:val="28"/>
          <w:szCs w:val="28"/>
        </w:rPr>
        <w:t xml:space="preserve">ящихся в трудной жизненной ситуации, детей-сирот, безнадзорных детей, детей, оставшихся без попечения родителей, а также по содержанию и обеспечению деятельности учреждений социального обслуживания и на администрирование в области социального обслуживания (</w:t>
      </w:r>
      <w:r>
        <w:rPr>
          <w:rFonts w:ascii="Times New Roman" w:hAnsi="Times New Roman" w:cs="Times New Roman"/>
          <w:bCs/>
          <w:sz w:val="28"/>
          <w:szCs w:val="28"/>
        </w:rPr>
        <w:t xml:space="preserve">Sоб), определяется по формуле: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Sоб = Sобс + Sадм, где: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Sобс - годовой объем субвенций, необходимых местным бюджетам для осуществления органами местного самоуправления отдельных государственных полномочий по социальному обслуживанию инвалидов, граждан пожилого возраста, граждан, находящихся в трудной жизненной с</w:t>
      </w:r>
      <w:r>
        <w:rPr>
          <w:rFonts w:ascii="Times New Roman" w:hAnsi="Times New Roman" w:cs="Times New Roman"/>
          <w:bCs/>
          <w:sz w:val="28"/>
          <w:szCs w:val="28"/>
        </w:rPr>
        <w:t xml:space="preserve">итуации, детей-сирот, безнадзорных детей, детей, оставшихся без попечения родителей, а также содержания и обеспечения деятельности учреждений социального обслуживания;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Sадм - годовой объем субвенций, необходимых местным бюджетам на осуществление администрирования отдельных государственных полномочий по социальному обслуживанию.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1. Расчет годового объема субвенций (Sобс) определяется по формуле:</w:t>
      </w:r>
      <w:r/>
      <w:r>
        <w:rPr>
          <w:rFonts w:ascii="Times New Roman" w:hAnsi="Times New Roman" w:cs="Times New Roman"/>
          <w:bCs/>
          <w:sz w:val="28"/>
          <w:szCs w:val="28"/>
        </w:rPr>
      </w:r>
      <w:r/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before="28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Sобс = Нжит x Пжит + Нкм x Пкм, где: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before="28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  <w:t xml:space="preserve">Нжит - норматив расходов на одного обслуживаемого в год в полустационарном учреждении (отделении) социального обслуживания, в учреждении (отделении) социального обслуживания на дому;</w:t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Пжит - плановая численность обслуживаемых на год в полустационарном учреждении (отделении) социального обслуживания, в учреждении (отделении) социального обслуживания на дому;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Нкм - норматив расходов на содержание одного койко-места в год в стационарном учреждении (отделении) социального обслуживания;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Пкм - плановое количество койко-мест на год в стационарных учреждениях (отделениях) социального обслуживания.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1.1. Расчет годового норматива расходов на одного обслуживаемого (Нжит) в полустационарном учреждении (отделении) социального обслуживания, в учреждении (отделении) социального обслуживания на дому осуществляется по формуле:</w:t>
      </w:r>
      <w:r/>
    </w:p>
    <w:p>
      <w:pPr>
        <w:ind w:firstLine="709"/>
        <w:jc w:val="both"/>
        <w:spacing w:before="28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Нжит = Нсо / Пфжит, где: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before="28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  <w:t xml:space="preserve">Нсо - годовой объем финансовых затрат на социальное обслуживание в полустационарных учреждениях (отделениях) социального обслуживания, в учреждениях (отделениях) социального обслуживания на дому;</w:t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Пфжит - численность обслуженных за предшествующий год в полустационарных учреждениях (отделениях) социального обслуживания, в учреждениях (отделениях) социального обслуживания на дому.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Расчет затрат на социальное обслуживание в полустационарных учреждениях (отделениях) социального обслуживания, в учреждениях (отделениях) социального обслуживания на дому (Нсо) определяется по формуле: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Нсо = Зот + Нз + Мз, где:</w:t>
      </w:r>
      <w:r/>
      <w:r>
        <w:rPr>
          <w:rFonts w:ascii="Times New Roman" w:hAnsi="Times New Roman" w:cs="Times New Roman"/>
          <w:bCs/>
          <w:sz w:val="28"/>
          <w:szCs w:val="28"/>
        </w:rPr>
      </w:r>
      <w:r/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Зот - затраты на оплату труда с учетом коэффициента увеличения заработной платы на соответствующий финансовый год;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Нз - начисления на оплату труда, установленные бюджетным и налоговым законодательством;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Мз - материальные затраты с учетом индекса-дефлятора на соответствующий финансовый год.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Расчет материальных затрат (Мз) производится по следующей формуле:</w:t>
      </w:r>
      <w:r/>
      <w:r>
        <w:rPr>
          <w:rFonts w:ascii="Times New Roman" w:hAnsi="Times New Roman" w:cs="Times New Roman"/>
          <w:bCs/>
          <w:sz w:val="28"/>
          <w:szCs w:val="28"/>
        </w:rPr>
      </w:r>
      <w:r/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Мз = (Русл + Рсос + Рсмз) x d, где: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Русл - затраты на приобретение услуг за период, предшествующий расчетному;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Рсос - затраты на увеличение стоимости основных средств (за исключением расходов на капитальный ремонт) за период, предшествующий расчетному;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Рсмз - затраты на увеличение стоимости материальных запасов и другие расходы за период, предшествующий расчетному;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d - индекс-дефлятор.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1.2. Расчет годового норматива расходов на обслуживание одного койко-места (Нкм) в стационарном учреждении (отделении) социального обслуживания осуществляется по формуле:</w:t>
      </w:r>
      <w:r/>
      <w:r>
        <w:rPr>
          <w:rFonts w:ascii="Times New Roman" w:hAnsi="Times New Roman" w:cs="Times New Roman"/>
          <w:bCs/>
          <w:sz w:val="28"/>
          <w:szCs w:val="28"/>
        </w:rPr>
      </w:r>
      <w:r/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Нкм = Нсо1 / Пкм, где: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Нсо1 - годовой объем финансовых затрат на содержание и обеспечение деятельности стационарных учреждений (отделений) социального обслуживания;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Пкм - общее количество койко-мест в стационарных учреждениях (отделениях) социального обслуживания.</w:t>
      </w:r>
      <w:r/>
    </w:p>
    <w:p>
      <w:pPr>
        <w:ind w:firstLine="709"/>
        <w:jc w:val="both"/>
        <w:spacing w:before="28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Расчет затрат на социальное обслуживание в стационарном учреждении (отделении) социального обслуживания (Нсо1) определяется по формуле: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before="28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  <w:t xml:space="preserve">Нсо1 = Зот1 + Нз1 + Мз1, где:</w:t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708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Зот1 - затраты на оплату труда с учетом коэффициента увеличения заработной платы на соответствующий финансовый год;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Нз1 - начисления на оплату труда, установленные бюджетным и налоговым законодательством;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Мз1 - материальные затраты с учетом индекса-дефлятора на соответствующий финансовый год.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Расчет материальных затрат (Мз1) производится по следующей формуле:</w:t>
      </w:r>
      <w:r/>
      <w:r>
        <w:rPr>
          <w:rFonts w:ascii="Times New Roman" w:hAnsi="Times New Roman" w:cs="Times New Roman"/>
          <w:bCs/>
          <w:sz w:val="28"/>
          <w:szCs w:val="28"/>
        </w:rPr>
      </w:r>
      <w:r/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Мз1 = (Русл1 + Рсос1 + Рсмз1) x d, где:</w:t>
      </w:r>
      <w:r/>
    </w:p>
    <w:p>
      <w:pPr>
        <w:ind w:firstLine="708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Русл1 - затраты на приобретение услуг за период, предшествующий расчетному;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Рсос1 - затраты на увеличение стоимости основных средств (за исключением расходов на капитальный ремонт) за период, предшествующий расчетному;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Рсмз1 - затраты на увеличение стоимости материальных запасов и другие расходы, за период, предшествующий расчетному;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d - индекс-дефлятор.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2. Расчет годового объема субвенций, необходимых местным бюджетам на администрирование отдельных государственных полномочий по социальному обслуживанию (Sадм), определяется по формуле: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S(адм) = Ндз x Чдр + Нбз x Чбр, где:</w:t>
      </w:r>
      <w:r/>
      <w:r>
        <w:rPr>
          <w:rFonts w:ascii="Times New Roman" w:hAnsi="Times New Roman" w:cs="Times New Roman"/>
          <w:bCs/>
          <w:sz w:val="28"/>
          <w:szCs w:val="28"/>
        </w:rPr>
      </w:r>
      <w:r/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Ндз - норматив финансовых затрат на осуществление отдельных государственных полномочий органом местного самоуправления в расчете на одно муниципальное образование, численность жителей которого не превышает 50 тысяч человек;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Чдр - количество муниципальных образований с численностью жителей, не превышающей 50 тыс. человек;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Нбз - норматив финансовых затрат на осуществление отдельных государственных полномочий органом местного самоуправления в расчете на одно муниципальное образование, численность жителей которого более 50 тысяч человек;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Чбр - количество муниципальных образований с численностью жителей более 50 тыс. человек.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2.1. Норматив финансовых затрат на осуществление администрирования отдельных государственных полномочий в муниципальном образовании определяется по формуле: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- при численности жителей менее 50 тысяч человек (Ндз)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Ндз = (Зотм x 2 + Зоттр x 1) x Нач x К;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- при численности жителей более 50 тысяч человек (Нбз)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Нбз = (Зотм x 3 + Зоттр x 1) x Нач x К, где: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Зотм - денежное содержание одного муниципального служащего за год с учетом индекса увеличения оплаты труда на соответствующий финансовый год;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Зоттр - оплата труда одного работника, осуществляющего техническое обеспечение за год с учетом индекса увеличения оплаты труда на соответствующий финансовый год;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Нач - размер начисления на оплату труда в соответствии с бюджетным и налоговым законодательством Российской Федерации;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К = 0,22 - коэффициент нормирования материальных расходов на обеспечение деятельности работников (служащих).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2.2. Численность муниципальных служащих (специалистов) муниципального образования устанавливается в зависимости от численности населения и не может превышать: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- при численности жителей муниципального образования до 50,0 тыс. жителей - 2,0 штатные единицы муниципальных служащих;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- при численности жителей муниципального образования более 50,0 тыс. жителей - 3,0 штатные единицы муниципальных служащих.</w:t>
      </w:r>
      <w:r/>
    </w:p>
    <w:p>
      <w:pPr>
        <w:ind w:firstLine="709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Численность работников, осуществляющих техническое обеспечение по ведению, актуализации базы данных, сопровождению программного обеспечения и иным работам, устанавливается в количестве 1 штатной единицы на муниципальное образование.</w:t>
      </w:r>
      <w:r/>
    </w:p>
    <w:p>
      <w:pPr>
        <w:ind w:firstLine="709"/>
        <w:jc w:val="both"/>
        <w:spacing w:before="28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Наименование должностей и структурных подразделений определяется в соответствии с законодательством Новосибирской области.</w:t>
      </w:r>
      <w:r/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663"/>
        <w:jc w:val="both"/>
        <w:spacing w:before="2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заместитель министра                                                          Е.М. Москалева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40"/>
        <w:jc w:val="both"/>
        <w:spacing w:after="1" w:line="2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53"/>
    <w:next w:val="653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54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53"/>
    <w:next w:val="653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54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53"/>
    <w:next w:val="653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54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53"/>
    <w:next w:val="653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54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53"/>
    <w:next w:val="653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54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53"/>
    <w:next w:val="653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54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53"/>
    <w:next w:val="653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54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53"/>
    <w:next w:val="653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54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53"/>
    <w:next w:val="653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54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53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53"/>
    <w:next w:val="653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54"/>
    <w:link w:val="34"/>
    <w:uiPriority w:val="10"/>
    <w:rPr>
      <w:sz w:val="48"/>
      <w:szCs w:val="48"/>
    </w:rPr>
  </w:style>
  <w:style w:type="paragraph" w:styleId="36">
    <w:name w:val="Subtitle"/>
    <w:basedOn w:val="653"/>
    <w:next w:val="653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54"/>
    <w:link w:val="36"/>
    <w:uiPriority w:val="11"/>
    <w:rPr>
      <w:sz w:val="24"/>
      <w:szCs w:val="24"/>
    </w:rPr>
  </w:style>
  <w:style w:type="paragraph" w:styleId="38">
    <w:name w:val="Quote"/>
    <w:basedOn w:val="653"/>
    <w:next w:val="653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53"/>
    <w:next w:val="653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character" w:styleId="43">
    <w:name w:val="Header Char"/>
    <w:basedOn w:val="654"/>
    <w:link w:val="659"/>
    <w:uiPriority w:val="99"/>
  </w:style>
  <w:style w:type="character" w:styleId="45">
    <w:name w:val="Footer Char"/>
    <w:basedOn w:val="654"/>
    <w:link w:val="661"/>
    <w:uiPriority w:val="99"/>
  </w:style>
  <w:style w:type="paragraph" w:styleId="46">
    <w:name w:val="Caption"/>
    <w:basedOn w:val="653"/>
    <w:next w:val="6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661"/>
    <w:uiPriority w:val="99"/>
  </w:style>
  <w:style w:type="table" w:styleId="48">
    <w:name w:val="Table Grid"/>
    <w:basedOn w:val="655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5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5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5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5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53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54"/>
    <w:uiPriority w:val="99"/>
    <w:unhideWhenUsed/>
    <w:rPr>
      <w:vertAlign w:val="superscript"/>
    </w:rPr>
  </w:style>
  <w:style w:type="paragraph" w:styleId="178">
    <w:name w:val="endnote text"/>
    <w:basedOn w:val="653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54"/>
    <w:uiPriority w:val="99"/>
    <w:semiHidden/>
    <w:unhideWhenUsed/>
    <w:rPr>
      <w:vertAlign w:val="superscript"/>
    </w:rPr>
  </w:style>
  <w:style w:type="paragraph" w:styleId="181">
    <w:name w:val="toc 1"/>
    <w:basedOn w:val="653"/>
    <w:next w:val="653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53"/>
    <w:next w:val="653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53"/>
    <w:next w:val="653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53"/>
    <w:next w:val="653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53"/>
    <w:next w:val="653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53"/>
    <w:next w:val="653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53"/>
    <w:next w:val="653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53"/>
    <w:next w:val="653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53"/>
    <w:next w:val="653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53"/>
    <w:next w:val="653"/>
    <w:uiPriority w:val="99"/>
    <w:unhideWhenUsed/>
    <w:pPr>
      <w:spacing w:after="0" w:afterAutospacing="0"/>
    </w:pPr>
  </w:style>
  <w:style w:type="paragraph" w:styleId="653" w:default="1">
    <w:name w:val="Normal"/>
    <w:qFormat/>
  </w:style>
  <w:style w:type="character" w:styleId="654" w:default="1">
    <w:name w:val="Default Paragraph Font"/>
    <w:uiPriority w:val="1"/>
    <w:semiHidden/>
    <w:unhideWhenUsed/>
  </w:style>
  <w:style w:type="table" w:styleId="65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56" w:default="1">
    <w:name w:val="No List"/>
    <w:uiPriority w:val="99"/>
    <w:semiHidden/>
    <w:unhideWhenUsed/>
  </w:style>
  <w:style w:type="paragraph" w:styleId="657">
    <w:name w:val="Balloon Text"/>
    <w:basedOn w:val="653"/>
    <w:link w:val="65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58" w:customStyle="1">
    <w:name w:val="Текст выноски Знак"/>
    <w:basedOn w:val="654"/>
    <w:link w:val="657"/>
    <w:uiPriority w:val="99"/>
    <w:semiHidden/>
    <w:rPr>
      <w:rFonts w:ascii="Tahoma" w:hAnsi="Tahoma" w:cs="Tahoma"/>
      <w:sz w:val="16"/>
      <w:szCs w:val="16"/>
    </w:rPr>
  </w:style>
  <w:style w:type="paragraph" w:styleId="659">
    <w:name w:val="Header"/>
    <w:basedOn w:val="653"/>
    <w:link w:val="66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60" w:customStyle="1">
    <w:name w:val="Верхний колонтитул Знак"/>
    <w:basedOn w:val="654"/>
    <w:link w:val="659"/>
    <w:uiPriority w:val="99"/>
  </w:style>
  <w:style w:type="paragraph" w:styleId="661">
    <w:name w:val="Footer"/>
    <w:basedOn w:val="653"/>
    <w:link w:val="662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662" w:customStyle="1">
    <w:name w:val="Нижний колонтитул Знак"/>
    <w:basedOn w:val="654"/>
    <w:link w:val="661"/>
    <w:uiPriority w:val="99"/>
  </w:style>
  <w:style w:type="paragraph" w:styleId="663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Зверева Анастасия Петровна</dc:creator>
  <cp:keywords/>
  <dc:description/>
  <cp:revision>7</cp:revision>
  <dcterms:created xsi:type="dcterms:W3CDTF">2022-10-14T10:03:00Z</dcterms:created>
  <dcterms:modified xsi:type="dcterms:W3CDTF">2025-10-17T03:26:02Z</dcterms:modified>
</cp:coreProperties>
</file>